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F4" w:rsidRPr="007A17F4" w:rsidRDefault="007A17F4" w:rsidP="007A17F4">
      <w:pPr>
        <w:jc w:val="right"/>
      </w:pPr>
      <w:bookmarkStart w:id="0" w:name="_GoBack"/>
      <w:bookmarkEnd w:id="0"/>
      <w:r w:rsidRPr="007A17F4">
        <w:t>Mc Cain –Argentina</w:t>
      </w:r>
      <w:r>
        <w:t xml:space="preserve"> </w:t>
      </w:r>
      <w:r w:rsidR="00433882">
        <w:t xml:space="preserve">SA </w:t>
      </w:r>
      <w:r>
        <w:t>--</w:t>
      </w:r>
      <w:r w:rsidRPr="007A17F4">
        <w:t xml:space="preserve"> </w:t>
      </w:r>
      <w:r w:rsidR="00433882">
        <w:t>Campaña 2012/</w:t>
      </w:r>
      <w:r w:rsidRPr="007A17F4">
        <w:t>13</w:t>
      </w:r>
    </w:p>
    <w:p w:rsidR="007A17F4" w:rsidRDefault="007A17F4">
      <w:pPr>
        <w:rPr>
          <w:u w:val="single"/>
        </w:rPr>
      </w:pPr>
    </w:p>
    <w:p w:rsidR="00721005" w:rsidRDefault="007A17F4" w:rsidP="00721005">
      <w:pPr>
        <w:jc w:val="center"/>
        <w:rPr>
          <w:sz w:val="28"/>
          <w:szCs w:val="28"/>
          <w:u w:val="single"/>
        </w:rPr>
      </w:pPr>
      <w:r w:rsidRPr="007A17F4">
        <w:rPr>
          <w:sz w:val="28"/>
          <w:szCs w:val="28"/>
          <w:u w:val="single"/>
        </w:rPr>
        <w:t xml:space="preserve">Efecto de los </w:t>
      </w:r>
      <w:r w:rsidR="00723B38">
        <w:rPr>
          <w:sz w:val="28"/>
          <w:szCs w:val="28"/>
          <w:u w:val="single"/>
        </w:rPr>
        <w:t>P</w:t>
      </w:r>
      <w:r w:rsidRPr="007A17F4">
        <w:rPr>
          <w:sz w:val="28"/>
          <w:szCs w:val="28"/>
          <w:u w:val="single"/>
        </w:rPr>
        <w:t xml:space="preserve">romotores de </w:t>
      </w:r>
      <w:r w:rsidR="00723B38">
        <w:rPr>
          <w:sz w:val="28"/>
          <w:szCs w:val="28"/>
          <w:u w:val="single"/>
        </w:rPr>
        <w:t>C</w:t>
      </w:r>
      <w:r w:rsidRPr="007A17F4">
        <w:rPr>
          <w:sz w:val="28"/>
          <w:szCs w:val="28"/>
          <w:u w:val="single"/>
        </w:rPr>
        <w:t xml:space="preserve">recimiento </w:t>
      </w:r>
      <w:r w:rsidR="00723B38">
        <w:rPr>
          <w:sz w:val="28"/>
          <w:szCs w:val="28"/>
          <w:u w:val="single"/>
        </w:rPr>
        <w:t>B</w:t>
      </w:r>
      <w:r w:rsidRPr="007A17F4">
        <w:rPr>
          <w:sz w:val="28"/>
          <w:szCs w:val="28"/>
          <w:u w:val="single"/>
        </w:rPr>
        <w:t xml:space="preserve">iológicos en la </w:t>
      </w:r>
      <w:r w:rsidR="00723B38">
        <w:rPr>
          <w:sz w:val="28"/>
          <w:szCs w:val="28"/>
          <w:u w:val="single"/>
        </w:rPr>
        <w:t>C</w:t>
      </w:r>
      <w:r w:rsidRPr="007A17F4">
        <w:rPr>
          <w:sz w:val="28"/>
          <w:szCs w:val="28"/>
          <w:u w:val="single"/>
        </w:rPr>
        <w:t xml:space="preserve">alidad </w:t>
      </w:r>
    </w:p>
    <w:p w:rsidR="002524E1" w:rsidRPr="007A17F4" w:rsidRDefault="007A17F4" w:rsidP="00721005">
      <w:pPr>
        <w:jc w:val="center"/>
        <w:rPr>
          <w:sz w:val="28"/>
          <w:szCs w:val="28"/>
          <w:u w:val="single"/>
        </w:rPr>
      </w:pPr>
      <w:proofErr w:type="gramStart"/>
      <w:r w:rsidRPr="007A17F4">
        <w:rPr>
          <w:sz w:val="28"/>
          <w:szCs w:val="28"/>
          <w:u w:val="single"/>
        </w:rPr>
        <w:t>y</w:t>
      </w:r>
      <w:proofErr w:type="gramEnd"/>
      <w:r w:rsidRPr="007A17F4">
        <w:rPr>
          <w:sz w:val="28"/>
          <w:szCs w:val="28"/>
          <w:u w:val="single"/>
        </w:rPr>
        <w:t xml:space="preserve"> </w:t>
      </w:r>
      <w:r w:rsidR="00723B38">
        <w:rPr>
          <w:sz w:val="28"/>
          <w:szCs w:val="28"/>
          <w:u w:val="single"/>
        </w:rPr>
        <w:t>Rendimiento de los Tubé</w:t>
      </w:r>
      <w:r w:rsidRPr="007A17F4">
        <w:rPr>
          <w:sz w:val="28"/>
          <w:szCs w:val="28"/>
          <w:u w:val="single"/>
        </w:rPr>
        <w:t>rculos</w:t>
      </w:r>
    </w:p>
    <w:p w:rsidR="007A17F4" w:rsidRDefault="007A17F4"/>
    <w:p w:rsidR="007A17F4" w:rsidRPr="007A17F4" w:rsidRDefault="007A17F4" w:rsidP="0072100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7A17F4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9D258E" w:rsidRDefault="007A17F4" w:rsidP="00721005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La papa es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un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cultivo de alt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a exigencia de 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recurso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s.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El agua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y los nutrientes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se deben aplicar </w:t>
      </w:r>
      <w:r w:rsidR="00721005">
        <w:rPr>
          <w:rFonts w:ascii="Arial" w:eastAsia="Times New Roman" w:hAnsi="Arial" w:cs="Arial"/>
          <w:color w:val="333333"/>
          <w:sz w:val="20"/>
          <w:lang w:val="es-ES" w:eastAsia="es-AR"/>
        </w:rPr>
        <w:t>p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a</w:t>
      </w:r>
      <w:r w:rsidR="00721005">
        <w:rPr>
          <w:rFonts w:ascii="Arial" w:eastAsia="Times New Roman" w:hAnsi="Arial" w:cs="Arial"/>
          <w:color w:val="333333"/>
          <w:sz w:val="20"/>
          <w:lang w:val="es-ES" w:eastAsia="es-AR"/>
        </w:rPr>
        <w:t>ra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br/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lograr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altos rendimientos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,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en la mayoría de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21005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los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entornos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.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Sin embargo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, </w:t>
      </w:r>
      <w:r w:rsidR="007931FD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ambos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recursos 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impactan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tanto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en el cultivo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como en la </w:t>
      </w:r>
      <w:r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huella de carbono.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Tanto el agua como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la fertilización nitrogenada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se han identificado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recientemente como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importante</w:t>
      </w:r>
      <w:r w:rsidR="007931FD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colaboradores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de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la huella de carbono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en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cultivos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de procesamiento (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Haverkort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y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Walsh,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2011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>).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br/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BPGP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como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varias especies de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Azospirillum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spp.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 y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Pseudomonas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spp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. </w:t>
      </w:r>
      <w:proofErr w:type="gramStart"/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se</w:t>
      </w:r>
      <w:proofErr w:type="gramEnd"/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están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comercial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izando 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br/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para mejorar el rendimiento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de los cultivos en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cereales y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legumbres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.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Esto es de particular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br/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importancia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en la soja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y más recientemente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en el maíz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y el trigo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,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donde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una práctica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común 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br/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inocular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la semilla con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microorganismos específicos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.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En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el caso de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las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legumbres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21005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los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microorganismos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interactúan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simbióticamente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,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mientras que en el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caso de los cereales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son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21005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libres </w:t>
      </w:r>
    </w:p>
    <w:p w:rsidR="007931FD" w:rsidRDefault="00721005" w:rsidP="00721005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>(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0"/>
          <w:lang w:val="es-ES" w:eastAsia="es-AR"/>
        </w:rPr>
        <w:t>a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>simbio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>ticos</w:t>
      </w:r>
      <w:proofErr w:type="spellEnd"/>
      <w:proofErr w:type="gramEnd"/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>)</w:t>
      </w:r>
      <w:r w:rsidR="007931FD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, 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impactando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en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ambos casos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sobre el suelo y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las propiedades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de los cultivos (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Clarín-Facultad de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Agronomía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UBA,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2004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>).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br/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La ventaja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en el uso de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BPGP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es que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,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en algunos casos,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mejora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el uso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eficiente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de nutrientes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y 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del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agua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, </w:t>
      </w:r>
      <w:r w:rsidR="007931FD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ya sea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mediante la mejora de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la disponibilidad de nutrientes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o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por 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crecimiento de las raíces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,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o ambos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.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Por lo tanto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,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los nutrientes y</w:t>
      </w:r>
      <w:r w:rsidR="007931FD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el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uso 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eficiente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del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agua podría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ser mejorado y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>asi la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huella de carbono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de la cosecha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podría reducirse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>.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br/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El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objetivo de este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primer trabajo con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BPGP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fue evaluar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su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efecto sobre el rendimiento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del tubérculo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y 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su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calidad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931FD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a nivel de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campo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,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cuando se aplica a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los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tubérculos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semilla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(papa semilla)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y / o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="007A17F4"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durante la siembra</w:t>
      </w:r>
      <w:r w:rsidR="007A17F4"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>.</w:t>
      </w:r>
    </w:p>
    <w:p w:rsidR="007931FD" w:rsidRDefault="007931FD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</w:pPr>
    </w:p>
    <w:p w:rsidR="007931FD" w:rsidRDefault="007931FD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</w:pPr>
    </w:p>
    <w:p w:rsidR="007931FD" w:rsidRPr="007931FD" w:rsidRDefault="007931FD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es-ES" w:eastAsia="es-AR"/>
        </w:rPr>
      </w:pPr>
      <w:r w:rsidRPr="007931FD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es-ES" w:eastAsia="es-AR"/>
        </w:rPr>
        <w:t xml:space="preserve">Materiales y Metodos </w:t>
      </w:r>
    </w:p>
    <w:p w:rsidR="004E10D7" w:rsidRDefault="007A17F4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br/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Un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ensayo de campo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se llevó a cabo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en El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Palenque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Granja (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SL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38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°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4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'1.20 "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S,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58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°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7'49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.84"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WL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, 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119</w:t>
      </w:r>
      <w:r w:rsidRPr="007A17F4">
        <w:rPr>
          <w:rFonts w:ascii="Arial" w:eastAsia="Times New Roman" w:hAnsi="Arial" w:cs="Arial"/>
          <w:color w:val="333333"/>
          <w:sz w:val="20"/>
          <w:szCs w:val="20"/>
          <w:lang w:val="es-ES" w:eastAsia="es-AR"/>
        </w:rPr>
        <w:t xml:space="preserve"> </w:t>
      </w:r>
      <w:proofErr w:type="spellStart"/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m</w:t>
      </w:r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>a</w:t>
      </w:r>
      <w:r w:rsidRPr="007A17F4">
        <w:rPr>
          <w:rFonts w:ascii="Arial" w:eastAsia="Times New Roman" w:hAnsi="Arial" w:cs="Arial"/>
          <w:color w:val="333333"/>
          <w:sz w:val="20"/>
          <w:lang w:val="es-ES" w:eastAsia="es-AR"/>
        </w:rPr>
        <w:t>s</w:t>
      </w:r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>l</w:t>
      </w:r>
      <w:proofErr w:type="spellEnd"/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, </w:t>
      </w:r>
      <w:proofErr w:type="spellStart"/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>Mechongue</w:t>
      </w:r>
      <w:proofErr w:type="spellEnd"/>
      <w:r w:rsidR="00721005">
        <w:rPr>
          <w:rFonts w:ascii="Arial" w:eastAsia="Times New Roman" w:hAnsi="Arial" w:cs="Arial"/>
          <w:color w:val="333333"/>
          <w:sz w:val="20"/>
          <w:lang w:val="es-ES" w:eastAsia="es-AR"/>
        </w:rPr>
        <w:t>, Buenos Aires,</w:t>
      </w:r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proofErr w:type="spellStart"/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>Arg</w:t>
      </w:r>
      <w:proofErr w:type="spellEnd"/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>)</w:t>
      </w:r>
      <w:r w:rsidR="00721005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con diferentes BPGP de </w:t>
      </w:r>
      <w:proofErr w:type="gramStart"/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CKC</w:t>
      </w:r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.</w:t>
      </w:r>
      <w:proofErr w:type="gramEnd"/>
    </w:p>
    <w:p w:rsidR="004E10D7" w:rsidRDefault="00721005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La </w:t>
      </w:r>
      <w:r w:rsidR="007F1D9A" w:rsidRPr="004E10D7">
        <w:rPr>
          <w:rFonts w:ascii="Arial" w:eastAsia="Times New Roman" w:hAnsi="Arial" w:cs="Arial"/>
          <w:color w:val="333333"/>
          <w:sz w:val="20"/>
          <w:lang w:val="es-ES" w:eastAsia="es-AR"/>
        </w:rPr>
        <w:t>Información</w:t>
      </w:r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Gral.</w:t>
      </w:r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 w:rsidR="004E10D7" w:rsidRPr="004E10D7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0"/>
          <w:lang w:val="es-ES" w:eastAsia="es-AR"/>
        </w:rPr>
        <w:t>s</w:t>
      </w:r>
      <w:r w:rsidR="007F1D9A" w:rsidRPr="004E10D7">
        <w:rPr>
          <w:rFonts w:ascii="Arial" w:eastAsia="Times New Roman" w:hAnsi="Arial" w:cs="Arial"/>
          <w:color w:val="333333"/>
          <w:sz w:val="20"/>
          <w:lang w:val="es-ES" w:eastAsia="es-AR"/>
        </w:rPr>
        <w:t>obre</w:t>
      </w:r>
      <w:proofErr w:type="gramEnd"/>
      <w:r w:rsidR="004E10D7" w:rsidRPr="004E10D7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el ensayo</w:t>
      </w:r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, resultados de los análisis de suelo y fertilización </w:t>
      </w:r>
      <w:proofErr w:type="spellStart"/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>estan</w:t>
      </w:r>
      <w:proofErr w:type="spellEnd"/>
      <w:r w:rsidR="004E10D7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detallados en las tablas 1.2.3 respectivamente.</w:t>
      </w:r>
    </w:p>
    <w:p w:rsidR="004E10D7" w:rsidRDefault="004E10D7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4E10D7" w:rsidRDefault="004E10D7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Los tratamientos se realizaron con pulverizadora manual aplicada en la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línea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de plantación con 70/80l de agua/ha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(tabla</w:t>
      </w:r>
      <w:r w:rsidR="00721005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4)</w:t>
      </w:r>
    </w:p>
    <w:p w:rsidR="00721005" w:rsidRDefault="00721005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4E10D7" w:rsidRDefault="004E10D7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>A la cosecha se analizaron muestr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as en el lab de Mc Cain para de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t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er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minar </w:t>
      </w:r>
      <w:r w:rsidR="00721005">
        <w:rPr>
          <w:rFonts w:ascii="Arial" w:eastAsia="Times New Roman" w:hAnsi="Arial" w:cs="Arial"/>
          <w:color w:val="333333"/>
          <w:sz w:val="20"/>
          <w:lang w:val="es-ES" w:eastAsia="es-AR"/>
        </w:rPr>
        <w:t>R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endimiento,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 </w:t>
      </w:r>
      <w:r w:rsidR="00721005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Calidad y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 w:rsidR="001E0A6C">
        <w:rPr>
          <w:rFonts w:ascii="Arial" w:eastAsia="Times New Roman" w:hAnsi="Arial" w:cs="Arial"/>
          <w:color w:val="333333"/>
          <w:sz w:val="20"/>
          <w:lang w:val="es-ES" w:eastAsia="es-AR"/>
        </w:rPr>
        <w:t>T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amaño</w:t>
      </w:r>
      <w:r w:rsidR="001E0A6C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(</w:t>
      </w:r>
      <w:proofErr w:type="spellStart"/>
      <w:r w:rsidR="001E0A6C">
        <w:rPr>
          <w:rFonts w:ascii="Arial" w:eastAsia="Times New Roman" w:hAnsi="Arial" w:cs="Arial"/>
          <w:color w:val="333333"/>
          <w:sz w:val="20"/>
          <w:lang w:val="es-ES" w:eastAsia="es-AR"/>
        </w:rPr>
        <w:t>Agronomy</w:t>
      </w:r>
      <w:proofErr w:type="spellEnd"/>
      <w:r w:rsidR="001E0A6C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proofErr w:type="spellStart"/>
      <w:r w:rsidR="001E0A6C">
        <w:rPr>
          <w:rFonts w:ascii="Arial" w:eastAsia="Times New Roman" w:hAnsi="Arial" w:cs="Arial"/>
          <w:color w:val="333333"/>
          <w:sz w:val="20"/>
          <w:lang w:val="es-ES" w:eastAsia="es-AR"/>
        </w:rPr>
        <w:t>Handbook</w:t>
      </w:r>
      <w:proofErr w:type="spellEnd"/>
      <w:r w:rsidR="001E0A6C">
        <w:rPr>
          <w:rFonts w:ascii="Arial" w:eastAsia="Times New Roman" w:hAnsi="Arial" w:cs="Arial"/>
          <w:color w:val="333333"/>
          <w:sz w:val="20"/>
          <w:lang w:val="es-ES" w:eastAsia="es-AR"/>
        </w:rPr>
        <w:t>, 2012)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. Resultados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analizados por ANOVA con diseño de blo</w:t>
      </w:r>
      <w:r w:rsidR="001E0A6C">
        <w:rPr>
          <w:rFonts w:ascii="Arial" w:eastAsia="Times New Roman" w:hAnsi="Arial" w:cs="Arial"/>
          <w:color w:val="333333"/>
          <w:sz w:val="20"/>
          <w:lang w:val="es-ES" w:eastAsia="es-AR"/>
        </w:rPr>
        <w:t>ques completos tomando Alfa=0.1</w:t>
      </w:r>
    </w:p>
    <w:p w:rsidR="001E0A6C" w:rsidRDefault="001E0A6C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B762A1" w:rsidRDefault="004E10D7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Cobertura de suelo y SPAD fueron medidos cada +/- 10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días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 después de 53 </w:t>
      </w:r>
      <w:r w:rsidR="00B762A1">
        <w:rPr>
          <w:rFonts w:ascii="Arial" w:eastAsia="Times New Roman" w:hAnsi="Arial" w:cs="Arial"/>
          <w:color w:val="333333"/>
          <w:sz w:val="20"/>
          <w:lang w:val="es-ES" w:eastAsia="es-AR"/>
        </w:rPr>
        <w:t>días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de la plantación.</w:t>
      </w: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>TABLA 1 ver original.</w:t>
      </w: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>TABLA 2  ver original.</w:t>
      </w: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>TABLA 3 ver original</w:t>
      </w: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TABLA 4 descripción de los tratamientos </w:t>
      </w:r>
    </w:p>
    <w:p w:rsidR="00B762A1" w:rsidRDefault="009D258E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lastRenderedPageBreak/>
        <w:t xml:space="preserve">Testigo - </w:t>
      </w:r>
      <w:r w:rsidR="00B762A1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Control </w:t>
      </w: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>T 1 R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H 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P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>r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dosis 1.3L/ha en tratamiento de semillas</w:t>
      </w: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>T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2 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>RH Pr A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plicación en plantación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(surco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)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1.3L/ha</w:t>
      </w: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>T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3 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RH Pr 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50% de la dosis en Trat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a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miento de semillas y 50% 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en 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plantación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(surco)</w:t>
      </w: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B762A1" w:rsidRPr="007F1D9A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u w:val="single"/>
          <w:lang w:val="es-ES" w:eastAsia="es-AR"/>
        </w:rPr>
      </w:pPr>
      <w:r w:rsidRPr="007F1D9A">
        <w:rPr>
          <w:rFonts w:ascii="Arial" w:eastAsia="Times New Roman" w:hAnsi="Arial" w:cs="Arial"/>
          <w:color w:val="333333"/>
          <w:sz w:val="20"/>
          <w:u w:val="single"/>
          <w:lang w:val="es-ES" w:eastAsia="es-AR"/>
        </w:rPr>
        <w:t xml:space="preserve">Resultados y discusión </w:t>
      </w: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Ver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gráficos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1,2</w:t>
      </w: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B762A1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Todos los tratamientos lograron 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más 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altos rendimientos que el control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>,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mientras que el 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contenido de 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DM (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>M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ateria Seca) fue mayor en el control.</w:t>
      </w:r>
    </w:p>
    <w:p w:rsidR="007F1D9A" w:rsidRDefault="00B762A1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Los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tubérculos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de tamaño &gt;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75 fueron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significativamente menores en el control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comparado con otros tratamientos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, mientras que  los tubérculos de tamaño de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&gt;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90mm y &gt;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>50mm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; </w:t>
      </w:r>
      <w:r w:rsidR="007F1D9A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Defectos y FCI 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>no mostraron diferencias significativas entre tratamientos.</w:t>
      </w:r>
    </w:p>
    <w:p w:rsidR="007F1D9A" w:rsidRDefault="007F1D9A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691BC0" w:rsidRDefault="007F1D9A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>Tabla5</w:t>
      </w:r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– Rendimiento, Materia Seca, Distribución del tamaño de Tubérculos y Calidad para BPGP CKC – El palenque, </w:t>
      </w:r>
      <w:proofErr w:type="spellStart"/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>Mechongue</w:t>
      </w:r>
      <w:proofErr w:type="spellEnd"/>
      <w:r w:rsidR="009D258E">
        <w:rPr>
          <w:rFonts w:ascii="Arial" w:eastAsia="Times New Roman" w:hAnsi="Arial" w:cs="Arial"/>
          <w:color w:val="333333"/>
          <w:sz w:val="20"/>
          <w:lang w:val="es-ES" w:eastAsia="es-AR"/>
        </w:rPr>
        <w:t>, Bs.As., Argentina (2012/13)</w:t>
      </w:r>
    </w:p>
    <w:p w:rsidR="00691BC0" w:rsidRDefault="00691BC0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691BC0" w:rsidRDefault="007F1D9A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 xml:space="preserve"> </w:t>
      </w:r>
    </w:p>
    <w:tbl>
      <w:tblPr>
        <w:tblW w:w="879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57"/>
        <w:gridCol w:w="960"/>
        <w:gridCol w:w="960"/>
        <w:gridCol w:w="960"/>
        <w:gridCol w:w="1000"/>
        <w:gridCol w:w="960"/>
        <w:gridCol w:w="960"/>
        <w:gridCol w:w="720"/>
      </w:tblGrid>
      <w:tr w:rsidR="00691BC0" w:rsidRPr="00691BC0" w:rsidTr="006377DC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Tratamiento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Rendimient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Mat.Seca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&lt; 50 mm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&gt; 90 mm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&gt; 75 mm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&gt; 50 mm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Defectos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FCI</w:t>
            </w:r>
          </w:p>
        </w:tc>
      </w:tr>
      <w:tr w:rsidR="00691BC0" w:rsidRPr="00691BC0" w:rsidTr="006377DC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tn</w:t>
            </w:r>
            <w:proofErr w:type="spellEnd"/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/ha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(%)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691BC0" w:rsidRPr="00691BC0" w:rsidTr="006377D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Control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51,98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19,36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14,39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69,89 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85,79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97,46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5,64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1,11 a</w:t>
            </w:r>
          </w:p>
        </w:tc>
      </w:tr>
      <w:tr w:rsidR="00691BC0" w:rsidRPr="00691BC0" w:rsidTr="006377D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Trat.Semilla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54,42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18,78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11,56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71,23 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89,87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98,95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4,75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0,67 a</w:t>
            </w:r>
          </w:p>
        </w:tc>
      </w:tr>
      <w:tr w:rsidR="00691BC0" w:rsidRPr="00691BC0" w:rsidTr="006377D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Trat.Surco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56,77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18,36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10,69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69,52 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89,98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98,32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3,91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2,85 a</w:t>
            </w:r>
          </w:p>
        </w:tc>
      </w:tr>
      <w:tr w:rsidR="00691BC0" w:rsidRPr="00691BC0" w:rsidTr="006377D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Trat</w:t>
            </w:r>
            <w:proofErr w:type="spellEnd"/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Sem+Sur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54,81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18,86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10,97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68,34 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90,73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98,96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5,37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C0" w:rsidRPr="00691BC0" w:rsidRDefault="00691BC0" w:rsidP="0069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691B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0,00 a</w:t>
            </w:r>
          </w:p>
        </w:tc>
      </w:tr>
    </w:tbl>
    <w:p w:rsidR="007F1D9A" w:rsidRDefault="007F1D9A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7F1D9A" w:rsidRDefault="007F1D9A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7F1D9A" w:rsidRDefault="007F1D9A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>No se evaluó el análisis comercial.</w:t>
      </w:r>
    </w:p>
    <w:p w:rsidR="007F1D9A" w:rsidRDefault="007F1D9A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</w:p>
    <w:p w:rsidR="007F1D9A" w:rsidRDefault="007F1D9A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>En esta etapa no se pueden hacer recomendaciones, sin embargo parece que aplicando es</w:t>
      </w:r>
      <w:r w:rsidR="002229AB">
        <w:rPr>
          <w:rFonts w:ascii="Arial" w:eastAsia="Times New Roman" w:hAnsi="Arial" w:cs="Arial"/>
          <w:color w:val="333333"/>
          <w:sz w:val="20"/>
          <w:lang w:val="es-ES" w:eastAsia="es-AR"/>
        </w:rPr>
        <w:t>tos microorganismos en plantació</w:t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>n tiene mejor resultados en el cultivo que si se aplican en semilla.</w:t>
      </w:r>
    </w:p>
    <w:p w:rsidR="007F1D9A" w:rsidRDefault="007F1D9A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>En la próxima temporada, estamos planeando repetir los ensayos con estos productos para seguir aprendiendo más sobre BPGP en cultivo de papa.</w:t>
      </w:r>
    </w:p>
    <w:p w:rsidR="007A17F4" w:rsidRPr="004E10D7" w:rsidRDefault="004E10D7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val="es-ES" w:eastAsia="es-AR"/>
        </w:rPr>
      </w:pP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>
        <w:rPr>
          <w:rFonts w:ascii="Arial" w:eastAsia="Times New Roman" w:hAnsi="Arial" w:cs="Arial"/>
          <w:color w:val="333333"/>
          <w:sz w:val="20"/>
          <w:lang w:val="es-ES" w:eastAsia="es-AR"/>
        </w:rPr>
        <w:tab/>
      </w:r>
      <w:r w:rsidRPr="004E10D7">
        <w:rPr>
          <w:rFonts w:ascii="Arial" w:eastAsia="Times New Roman" w:hAnsi="Arial" w:cs="Arial"/>
          <w:color w:val="333333"/>
          <w:sz w:val="20"/>
          <w:lang w:val="es-ES" w:eastAsia="es-AR"/>
        </w:rPr>
        <w:t>.</w:t>
      </w:r>
    </w:p>
    <w:p w:rsidR="004E10D7" w:rsidRPr="00B762A1" w:rsidRDefault="004E10D7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lang w:eastAsia="es-AR"/>
        </w:rPr>
      </w:pPr>
    </w:p>
    <w:p w:rsidR="007A17F4" w:rsidRPr="00B762A1" w:rsidRDefault="007A17F4" w:rsidP="007A17F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vanish/>
          <w:color w:val="000000"/>
          <w:sz w:val="20"/>
          <w:szCs w:val="20"/>
          <w:lang w:eastAsia="es-AR"/>
        </w:rPr>
      </w:pPr>
      <w:r w:rsidRPr="00B762A1">
        <w:rPr>
          <w:rFonts w:ascii="Arial" w:eastAsia="Times New Roman" w:hAnsi="Arial" w:cs="Arial"/>
          <w:vanish/>
          <w:color w:val="000000"/>
          <w:sz w:val="20"/>
          <w:szCs w:val="20"/>
          <w:lang w:eastAsia="es-AR"/>
        </w:rPr>
        <w:t>Ejemplo del uso de "":</w:t>
      </w:r>
    </w:p>
    <w:p w:rsidR="007A17F4" w:rsidRPr="00B762A1" w:rsidRDefault="007A17F4" w:rsidP="007A17F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vanish/>
          <w:color w:val="000000"/>
          <w:sz w:val="16"/>
          <w:szCs w:val="16"/>
          <w:lang w:eastAsia="es-AR"/>
        </w:rPr>
      </w:pPr>
      <w:r w:rsidRPr="00B762A1">
        <w:rPr>
          <w:rFonts w:ascii="Arial" w:eastAsia="Times New Roman" w:hAnsi="Arial" w:cs="Arial"/>
          <w:vanish/>
          <w:color w:val="000000"/>
          <w:sz w:val="16"/>
          <w:szCs w:val="16"/>
          <w:lang w:eastAsia="es-AR"/>
        </w:rPr>
        <w:t>traducido automáticamente por Google</w:t>
      </w:r>
    </w:p>
    <w:p w:rsidR="007A17F4" w:rsidRPr="00B762A1" w:rsidRDefault="007A17F4" w:rsidP="007A17F4">
      <w:pPr>
        <w:shd w:val="clear" w:color="auto" w:fill="FFFFFF"/>
        <w:spacing w:after="125" w:line="363" w:lineRule="atLeast"/>
        <w:textAlignment w:val="top"/>
        <w:outlineLvl w:val="3"/>
        <w:rPr>
          <w:rFonts w:ascii="Arial" w:eastAsia="Times New Roman" w:hAnsi="Arial" w:cs="Arial"/>
          <w:vanish/>
          <w:color w:val="888888"/>
          <w:sz w:val="16"/>
          <w:szCs w:val="16"/>
          <w:lang w:eastAsia="es-AR"/>
        </w:rPr>
      </w:pPr>
      <w:r w:rsidRPr="00B762A1">
        <w:rPr>
          <w:rFonts w:ascii="Arial" w:eastAsia="Times New Roman" w:hAnsi="Arial" w:cs="Arial"/>
          <w:vanish/>
          <w:color w:val="888888"/>
          <w:sz w:val="16"/>
          <w:szCs w:val="16"/>
          <w:lang w:eastAsia="es-AR"/>
        </w:rPr>
        <w:t>Diccionario</w:t>
      </w:r>
    </w:p>
    <w:sectPr w:rsidR="007A17F4" w:rsidRPr="00B762A1" w:rsidSect="002524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17F4"/>
    <w:rsid w:val="001E0A6C"/>
    <w:rsid w:val="002229AB"/>
    <w:rsid w:val="002524E1"/>
    <w:rsid w:val="003654E8"/>
    <w:rsid w:val="00433882"/>
    <w:rsid w:val="004E10D7"/>
    <w:rsid w:val="006377DC"/>
    <w:rsid w:val="00691BC0"/>
    <w:rsid w:val="007100D8"/>
    <w:rsid w:val="00721005"/>
    <w:rsid w:val="00723B38"/>
    <w:rsid w:val="007931FD"/>
    <w:rsid w:val="007A17F4"/>
    <w:rsid w:val="007F1D9A"/>
    <w:rsid w:val="009D258E"/>
    <w:rsid w:val="00B762A1"/>
    <w:rsid w:val="00C6695A"/>
    <w:rsid w:val="00D85AF1"/>
    <w:rsid w:val="00DB55DC"/>
    <w:rsid w:val="00F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248E9-805C-4AF8-BEA2-2FEC2BBE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4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A17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A17F4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hps">
    <w:name w:val="hps"/>
    <w:basedOn w:val="Fuentedeprrafopredeter"/>
    <w:rsid w:val="007A17F4"/>
  </w:style>
  <w:style w:type="character" w:customStyle="1" w:styleId="atn">
    <w:name w:val="atn"/>
    <w:basedOn w:val="Fuentedeprrafopredeter"/>
    <w:rsid w:val="007A17F4"/>
  </w:style>
  <w:style w:type="character" w:customStyle="1" w:styleId="st-stp1-text1">
    <w:name w:val="st-stp1-text1"/>
    <w:basedOn w:val="Fuentedeprrafopredeter"/>
    <w:rsid w:val="007A17F4"/>
    <w:rPr>
      <w:color w:val="333333"/>
    </w:rPr>
  </w:style>
  <w:style w:type="character" w:customStyle="1" w:styleId="gt-ft-text1">
    <w:name w:val="gt-ft-text1"/>
    <w:basedOn w:val="Fuentedeprrafopredeter"/>
    <w:rsid w:val="007A17F4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A17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A17F4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3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4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8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35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9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9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025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5532">
                                                          <w:marLeft w:val="0"/>
                                                          <w:marRight w:val="10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86430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single" w:sz="4" w:space="5" w:color="EBEBEB"/>
                                                <w:left w:val="single" w:sz="4" w:space="5" w:color="EBEBEB"/>
                                                <w:bottom w:val="single" w:sz="4" w:space="5" w:color="EBEBEB"/>
                                                <w:right w:val="single" w:sz="4" w:space="5" w:color="EBEBEB"/>
                                              </w:divBdr>
                                              <w:divsChild>
                                                <w:div w:id="78643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546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53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4" w:space="0" w:color="EBEBEB"/>
                                                    <w:left w:val="single" w:sz="4" w:space="0" w:color="EBEBEB"/>
                                                    <w:bottom w:val="single" w:sz="4" w:space="0" w:color="EBEBEB"/>
                                                    <w:right w:val="single" w:sz="4" w:space="0" w:color="EBEBEB"/>
                                                  </w:divBdr>
                                                  <w:divsChild>
                                                    <w:div w:id="74746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2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4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27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84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5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540571">
                              <w:marLeft w:val="0"/>
                              <w:marRight w:val="0"/>
                              <w:marTop w:val="240"/>
                              <w:marBottom w:val="4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135937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605507248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672028244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259682115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548226499">
              <w:marLeft w:val="0"/>
              <w:marRight w:val="0"/>
              <w:marTop w:val="0"/>
              <w:marBottom w:val="0"/>
              <w:divBdr>
                <w:top w:val="single" w:sz="4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</cp:lastModifiedBy>
  <cp:revision>2</cp:revision>
  <dcterms:created xsi:type="dcterms:W3CDTF">2025-01-06T17:40:00Z</dcterms:created>
  <dcterms:modified xsi:type="dcterms:W3CDTF">2025-01-06T17:40:00Z</dcterms:modified>
</cp:coreProperties>
</file>